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Arial"/>
          <w:b/>
          <w:color w:val="000000"/>
          <w:kern w:val="0"/>
          <w:sz w:val="32"/>
          <w:szCs w:val="32"/>
        </w:rPr>
      </w:pPr>
      <w:r>
        <w:rPr>
          <w:rFonts w:hint="eastAsia" w:ascii="仿宋" w:hAnsi="仿宋" w:eastAsia="仿宋"/>
          <w:b/>
          <w:sz w:val="32"/>
          <w:szCs w:val="32"/>
        </w:rPr>
        <w:t>江苏奇力康皮肤药业有限公司扩建项目</w:t>
      </w:r>
      <w:r>
        <w:rPr>
          <w:rFonts w:hint="eastAsia" w:ascii="仿宋" w:hAnsi="仿宋" w:eastAsia="仿宋" w:cs="Arial"/>
          <w:b/>
          <w:color w:val="000000"/>
          <w:kern w:val="0"/>
          <w:sz w:val="32"/>
          <w:szCs w:val="32"/>
        </w:rPr>
        <w:t>竣工</w:t>
      </w:r>
    </w:p>
    <w:p>
      <w:pPr>
        <w:jc w:val="center"/>
        <w:rPr>
          <w:rFonts w:ascii="仿宋" w:hAnsi="仿宋" w:eastAsia="仿宋"/>
          <w:b/>
          <w:color w:val="000000"/>
          <w:sz w:val="32"/>
          <w:szCs w:val="32"/>
        </w:rPr>
      </w:pPr>
      <w:r>
        <w:rPr>
          <w:rFonts w:hint="eastAsia" w:ascii="仿宋" w:hAnsi="仿宋" w:eastAsia="仿宋" w:cs="Arial"/>
          <w:b/>
          <w:color w:val="000000"/>
          <w:kern w:val="0"/>
          <w:sz w:val="32"/>
          <w:szCs w:val="32"/>
        </w:rPr>
        <w:t>环境保护验收意见</w:t>
      </w:r>
    </w:p>
    <w:p>
      <w:pPr>
        <w:spacing w:line="500" w:lineRule="exact"/>
        <w:ind w:firstLine="560" w:firstLineChars="200"/>
        <w:rPr>
          <w:rFonts w:ascii="仿宋" w:hAnsi="仿宋" w:eastAsia="仿宋"/>
          <w:sz w:val="28"/>
          <w:szCs w:val="28"/>
        </w:rPr>
      </w:pPr>
      <w:r>
        <w:rPr>
          <w:rFonts w:ascii="仿宋" w:hAnsi="仿宋" w:eastAsia="仿宋" w:cs="Arial"/>
          <w:color w:val="000000"/>
          <w:kern w:val="0"/>
          <w:sz w:val="28"/>
          <w:szCs w:val="28"/>
        </w:rPr>
        <w:t>2018</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t>10</w:t>
      </w:r>
      <w:r>
        <w:rPr>
          <w:rFonts w:hint="eastAsia" w:ascii="仿宋" w:hAnsi="仿宋" w:eastAsia="仿宋" w:cs="Arial"/>
          <w:color w:val="000000"/>
          <w:kern w:val="0"/>
          <w:sz w:val="28"/>
          <w:szCs w:val="28"/>
        </w:rPr>
        <w:t>日，</w:t>
      </w:r>
      <w:r>
        <w:rPr>
          <w:rFonts w:hint="eastAsia" w:ascii="仿宋" w:hAnsi="仿宋" w:eastAsia="仿宋"/>
          <w:sz w:val="28"/>
          <w:szCs w:val="28"/>
        </w:rPr>
        <w:t>江苏奇力康皮肤药业有限公司</w:t>
      </w:r>
      <w:r>
        <w:rPr>
          <w:rFonts w:hint="eastAsia" w:ascii="仿宋" w:hAnsi="仿宋" w:eastAsia="仿宋"/>
          <w:bCs/>
          <w:sz w:val="28"/>
          <w:szCs w:val="28"/>
        </w:rPr>
        <w:t>组织召开</w:t>
      </w:r>
      <w:r>
        <w:rPr>
          <w:rFonts w:hint="eastAsia" w:ascii="仿宋" w:hAnsi="仿宋" w:eastAsia="仿宋"/>
          <w:sz w:val="28"/>
          <w:szCs w:val="28"/>
        </w:rPr>
        <w:t>江苏奇力康皮肤药业有限公司扩建项目</w:t>
      </w:r>
      <w:r>
        <w:rPr>
          <w:rFonts w:ascii="仿宋" w:hAnsi="仿宋" w:eastAsia="仿宋"/>
          <w:sz w:val="28"/>
          <w:szCs w:val="28"/>
        </w:rPr>
        <w:t>(</w:t>
      </w:r>
      <w:r>
        <w:rPr>
          <w:rFonts w:hint="eastAsia" w:ascii="仿宋" w:hAnsi="仿宋" w:eastAsia="仿宋"/>
          <w:sz w:val="28"/>
          <w:szCs w:val="28"/>
        </w:rPr>
        <w:t>年产医用卫生材料及敷料</w:t>
      </w:r>
      <w:r>
        <w:rPr>
          <w:rFonts w:ascii="仿宋" w:hAnsi="仿宋" w:eastAsia="仿宋"/>
          <w:sz w:val="28"/>
          <w:szCs w:val="28"/>
        </w:rPr>
        <w:t>2000</w:t>
      </w:r>
      <w:r>
        <w:rPr>
          <w:rFonts w:hint="eastAsia" w:ascii="仿宋" w:hAnsi="仿宋" w:eastAsia="仿宋"/>
          <w:sz w:val="28"/>
          <w:szCs w:val="28"/>
        </w:rPr>
        <w:t>箱；中医器械</w:t>
      </w:r>
      <w:r>
        <w:rPr>
          <w:rFonts w:ascii="仿宋" w:hAnsi="仿宋" w:eastAsia="仿宋"/>
          <w:sz w:val="28"/>
          <w:szCs w:val="28"/>
        </w:rPr>
        <w:t>5000</w:t>
      </w:r>
      <w:r>
        <w:rPr>
          <w:rFonts w:hint="eastAsia" w:ascii="仿宋" w:hAnsi="仿宋" w:eastAsia="仿宋"/>
          <w:sz w:val="28"/>
          <w:szCs w:val="28"/>
        </w:rPr>
        <w:t>箱；医用冷疗、低温、冷藏设备及器具</w:t>
      </w:r>
      <w:r>
        <w:rPr>
          <w:rFonts w:ascii="仿宋" w:hAnsi="仿宋" w:eastAsia="仿宋"/>
          <w:sz w:val="28"/>
          <w:szCs w:val="28"/>
        </w:rPr>
        <w:t>5000</w:t>
      </w:r>
      <w:r>
        <w:rPr>
          <w:rFonts w:hint="eastAsia" w:ascii="仿宋" w:hAnsi="仿宋" w:eastAsia="仿宋"/>
          <w:sz w:val="28"/>
          <w:szCs w:val="28"/>
        </w:rPr>
        <w:t>箱；物理治疗设备</w:t>
      </w:r>
      <w:r>
        <w:rPr>
          <w:rFonts w:ascii="仿宋" w:hAnsi="仿宋" w:eastAsia="仿宋"/>
          <w:sz w:val="28"/>
          <w:szCs w:val="28"/>
        </w:rPr>
        <w:t>6260</w:t>
      </w:r>
      <w:r>
        <w:rPr>
          <w:rFonts w:hint="eastAsia" w:ascii="仿宋" w:hAnsi="仿宋" w:eastAsia="仿宋"/>
          <w:sz w:val="28"/>
          <w:szCs w:val="28"/>
        </w:rPr>
        <w:t>箱；日化用品</w:t>
      </w:r>
      <w:r>
        <w:rPr>
          <w:rFonts w:ascii="仿宋" w:hAnsi="仿宋" w:eastAsia="仿宋"/>
          <w:sz w:val="28"/>
          <w:szCs w:val="28"/>
        </w:rPr>
        <w:t>22740</w:t>
      </w:r>
      <w:r>
        <w:rPr>
          <w:rFonts w:hint="eastAsia" w:ascii="仿宋" w:hAnsi="仿宋" w:eastAsia="仿宋"/>
          <w:sz w:val="28"/>
          <w:szCs w:val="28"/>
        </w:rPr>
        <w:t>箱</w:t>
      </w:r>
      <w:r>
        <w:rPr>
          <w:rFonts w:ascii="仿宋" w:hAnsi="仿宋" w:eastAsia="仿宋"/>
          <w:sz w:val="28"/>
          <w:szCs w:val="28"/>
        </w:rPr>
        <w:t>)</w:t>
      </w:r>
      <w:r>
        <w:rPr>
          <w:rFonts w:hint="eastAsia" w:ascii="仿宋" w:hAnsi="仿宋" w:eastAsia="仿宋"/>
          <w:bCs/>
          <w:sz w:val="28"/>
          <w:szCs w:val="28"/>
        </w:rPr>
        <w:t>建设项目竣工环境保护验收。</w:t>
      </w:r>
      <w:r>
        <w:rPr>
          <w:rFonts w:hint="eastAsia" w:ascii="仿宋" w:hAnsi="仿宋" w:eastAsia="仿宋"/>
          <w:sz w:val="28"/>
          <w:szCs w:val="28"/>
        </w:rPr>
        <w:t>验收组由工程建设单位（江苏奇力康皮肤药业有限公司）、环评单位</w:t>
      </w:r>
      <w:r>
        <w:rPr>
          <w:rFonts w:ascii="仿宋" w:hAnsi="仿宋" w:eastAsia="仿宋"/>
          <w:sz w:val="28"/>
          <w:szCs w:val="28"/>
        </w:rPr>
        <w:t>(</w:t>
      </w:r>
      <w:r>
        <w:rPr>
          <w:rFonts w:hint="eastAsia" w:ascii="仿宋" w:hAnsi="仿宋" w:eastAsia="仿宋"/>
          <w:sz w:val="28"/>
          <w:szCs w:val="28"/>
        </w:rPr>
        <w:t>北京嘉和绿洲环保技术投资有限公司</w:t>
      </w:r>
      <w:r>
        <w:rPr>
          <w:rFonts w:ascii="仿宋" w:hAnsi="仿宋" w:eastAsia="仿宋"/>
          <w:sz w:val="28"/>
          <w:szCs w:val="28"/>
        </w:rPr>
        <w:t>)</w:t>
      </w:r>
      <w:r>
        <w:rPr>
          <w:rFonts w:hint="eastAsia" w:ascii="仿宋" w:hAnsi="仿宋" w:eastAsia="仿宋"/>
          <w:sz w:val="28"/>
          <w:szCs w:val="28"/>
        </w:rPr>
        <w:t>、监测单位及报告编制单位（江苏创盛环境监测技术有限公司）及特邀</w:t>
      </w:r>
      <w:r>
        <w:rPr>
          <w:rFonts w:ascii="仿宋" w:hAnsi="仿宋" w:eastAsia="仿宋"/>
          <w:sz w:val="28"/>
          <w:szCs w:val="28"/>
        </w:rPr>
        <w:t>3</w:t>
      </w:r>
      <w:r>
        <w:rPr>
          <w:rFonts w:hint="eastAsia" w:ascii="仿宋" w:hAnsi="仿宋" w:eastAsia="仿宋"/>
          <w:sz w:val="28"/>
          <w:szCs w:val="28"/>
        </w:rPr>
        <w:t>名专家（名单附后）组成。验收组现场查看并核实了</w:t>
      </w:r>
      <w:bookmarkStart w:id="0" w:name="_GoBack"/>
      <w:bookmarkEnd w:id="0"/>
      <w:r>
        <w:rPr>
          <w:rFonts w:hint="eastAsia" w:ascii="仿宋" w:hAnsi="仿宋" w:eastAsia="仿宋"/>
          <w:sz w:val="28"/>
          <w:szCs w:val="28"/>
        </w:rPr>
        <w:t>本项目建设运营期配套环境保护设施的建设与运行情况。验收组听取了建设单位和验收监测报告编制单位的汇报介绍，并对照《建设项目竣工环境保护验收暂行办法》，严格依照国家有关法律法规、建设项目竣工环境保护验收技术规范和本项目环境影响评价报告表及环评批复等要求对本项目进行验收，经认真研究讨论形成以下验收意见。</w:t>
      </w:r>
    </w:p>
    <w:p>
      <w:pPr>
        <w:autoSpaceDE w:val="0"/>
        <w:autoSpaceDN w:val="0"/>
        <w:adjustRightInd w:val="0"/>
        <w:spacing w:line="500" w:lineRule="exact"/>
        <w:ind w:firstLine="703" w:firstLineChars="250"/>
        <w:jc w:val="left"/>
        <w:rPr>
          <w:rFonts w:ascii="仿宋" w:hAnsi="仿宋" w:eastAsia="仿宋"/>
          <w:b/>
          <w:sz w:val="28"/>
          <w:szCs w:val="28"/>
        </w:rPr>
      </w:pPr>
      <w:r>
        <w:rPr>
          <w:rFonts w:hint="eastAsia" w:ascii="仿宋" w:hAnsi="仿宋" w:eastAsia="仿宋"/>
          <w:b/>
          <w:sz w:val="28"/>
          <w:szCs w:val="28"/>
        </w:rPr>
        <w:t>一、工程建设基本情况</w:t>
      </w:r>
    </w:p>
    <w:p>
      <w:pPr>
        <w:autoSpaceDE w:val="0"/>
        <w:autoSpaceDN w:val="0"/>
        <w:adjustRightInd w:val="0"/>
        <w:spacing w:line="500" w:lineRule="exact"/>
        <w:ind w:firstLine="700" w:firstLineChars="250"/>
        <w:jc w:val="left"/>
        <w:rPr>
          <w:rFonts w:ascii="仿宋" w:hAnsi="仿宋" w:eastAsia="仿宋"/>
          <w:sz w:val="28"/>
          <w:szCs w:val="28"/>
        </w:rPr>
      </w:pPr>
      <w:r>
        <w:rPr>
          <w:rFonts w:hint="eastAsia" w:ascii="仿宋" w:hAnsi="仿宋" w:eastAsia="仿宋"/>
          <w:sz w:val="28"/>
          <w:szCs w:val="28"/>
        </w:rPr>
        <w:t>江苏奇力康皮肤药业有限公司位于苏州高新区泰山路</w:t>
      </w:r>
      <w:r>
        <w:rPr>
          <w:rFonts w:ascii="仿宋" w:hAnsi="仿宋" w:eastAsia="仿宋"/>
          <w:sz w:val="28"/>
          <w:szCs w:val="28"/>
        </w:rPr>
        <w:t>668</w:t>
      </w:r>
      <w:r>
        <w:rPr>
          <w:rFonts w:hint="eastAsia" w:ascii="仿宋" w:hAnsi="仿宋" w:eastAsia="仿宋"/>
          <w:sz w:val="28"/>
          <w:szCs w:val="28"/>
        </w:rPr>
        <w:t>号，项目东面为金枫运河；南面为泰山路；西面为雅可宝材料科技有限公司；北面为嘉沁新能源公司，周围</w:t>
      </w:r>
      <w:r>
        <w:rPr>
          <w:rFonts w:ascii="仿宋" w:hAnsi="仿宋" w:eastAsia="仿宋"/>
          <w:sz w:val="28"/>
          <w:szCs w:val="28"/>
        </w:rPr>
        <w:t>300</w:t>
      </w:r>
      <w:r>
        <w:rPr>
          <w:rFonts w:hint="eastAsia" w:ascii="仿宋" w:hAnsi="仿宋" w:eastAsia="仿宋"/>
          <w:sz w:val="28"/>
          <w:szCs w:val="28"/>
        </w:rPr>
        <w:t>米范围内无居民。用地性质为工业用地，项目总投资</w:t>
      </w:r>
      <w:r>
        <w:rPr>
          <w:rFonts w:ascii="仿宋" w:hAnsi="仿宋" w:eastAsia="仿宋"/>
          <w:sz w:val="28"/>
          <w:szCs w:val="28"/>
        </w:rPr>
        <w:t>280</w:t>
      </w:r>
      <w:r>
        <w:rPr>
          <w:rFonts w:hint="eastAsia" w:ascii="仿宋" w:hAnsi="仿宋" w:eastAsia="仿宋"/>
          <w:sz w:val="28"/>
          <w:szCs w:val="28"/>
        </w:rPr>
        <w:t>万元，环保投资</w:t>
      </w:r>
      <w:r>
        <w:rPr>
          <w:rFonts w:ascii="仿宋" w:hAnsi="仿宋" w:eastAsia="仿宋"/>
          <w:sz w:val="28"/>
          <w:szCs w:val="28"/>
        </w:rPr>
        <w:t>18</w:t>
      </w:r>
      <w:r>
        <w:rPr>
          <w:rFonts w:hint="eastAsia" w:ascii="仿宋" w:hAnsi="仿宋" w:eastAsia="仿宋"/>
          <w:sz w:val="28"/>
          <w:szCs w:val="28"/>
        </w:rPr>
        <w:t>万元，占地面积</w:t>
      </w:r>
      <w:r>
        <w:rPr>
          <w:rFonts w:ascii="仿宋" w:hAnsi="仿宋" w:eastAsia="仿宋"/>
          <w:sz w:val="28"/>
          <w:szCs w:val="28"/>
        </w:rPr>
        <w:t>16638.3m2</w:t>
      </w:r>
      <w:r>
        <w:rPr>
          <w:rFonts w:hint="eastAsia" w:ascii="仿宋" w:hAnsi="仿宋" w:eastAsia="仿宋"/>
          <w:sz w:val="28"/>
          <w:szCs w:val="28"/>
        </w:rPr>
        <w:t>，总建筑面积</w:t>
      </w:r>
      <w:r>
        <w:rPr>
          <w:rFonts w:ascii="仿宋" w:hAnsi="仿宋" w:eastAsia="仿宋"/>
          <w:sz w:val="28"/>
          <w:szCs w:val="28"/>
        </w:rPr>
        <w:t>24000m2</w:t>
      </w:r>
      <w:r>
        <w:rPr>
          <w:rFonts w:hint="eastAsia" w:ascii="仿宋" w:hAnsi="仿宋" w:eastAsia="仿宋"/>
          <w:sz w:val="28"/>
          <w:szCs w:val="28"/>
        </w:rPr>
        <w:t>。</w:t>
      </w:r>
    </w:p>
    <w:p>
      <w:pPr>
        <w:autoSpaceDE w:val="0"/>
        <w:autoSpaceDN w:val="0"/>
        <w:adjustRightIn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江苏奇力康皮肤药业有限公司扩建项目</w:t>
      </w:r>
      <w:r>
        <w:rPr>
          <w:rFonts w:ascii="仿宋" w:hAnsi="仿宋" w:eastAsia="仿宋"/>
          <w:sz w:val="28"/>
          <w:szCs w:val="28"/>
        </w:rPr>
        <w:t>(</w:t>
      </w:r>
      <w:r>
        <w:rPr>
          <w:rFonts w:hint="eastAsia" w:ascii="仿宋" w:hAnsi="仿宋" w:eastAsia="仿宋"/>
          <w:sz w:val="28"/>
          <w:szCs w:val="28"/>
        </w:rPr>
        <w:t>年产医用卫生材料及敷料</w:t>
      </w:r>
      <w:r>
        <w:rPr>
          <w:rFonts w:ascii="仿宋" w:hAnsi="仿宋" w:eastAsia="仿宋"/>
          <w:sz w:val="28"/>
          <w:szCs w:val="28"/>
        </w:rPr>
        <w:t>2000</w:t>
      </w:r>
      <w:r>
        <w:rPr>
          <w:rFonts w:hint="eastAsia" w:ascii="仿宋" w:hAnsi="仿宋" w:eastAsia="仿宋"/>
          <w:sz w:val="28"/>
          <w:szCs w:val="28"/>
        </w:rPr>
        <w:t>箱；中医器械</w:t>
      </w:r>
      <w:r>
        <w:rPr>
          <w:rFonts w:ascii="仿宋" w:hAnsi="仿宋" w:eastAsia="仿宋"/>
          <w:sz w:val="28"/>
          <w:szCs w:val="28"/>
        </w:rPr>
        <w:t>5000</w:t>
      </w:r>
      <w:r>
        <w:rPr>
          <w:rFonts w:hint="eastAsia" w:ascii="仿宋" w:hAnsi="仿宋" w:eastAsia="仿宋"/>
          <w:sz w:val="28"/>
          <w:szCs w:val="28"/>
        </w:rPr>
        <w:t>箱；医用冷疗、低温、冷藏设备及器具</w:t>
      </w:r>
      <w:r>
        <w:rPr>
          <w:rFonts w:ascii="仿宋" w:hAnsi="仿宋" w:eastAsia="仿宋"/>
          <w:sz w:val="28"/>
          <w:szCs w:val="28"/>
        </w:rPr>
        <w:t>5000</w:t>
      </w:r>
      <w:r>
        <w:rPr>
          <w:rFonts w:hint="eastAsia" w:ascii="仿宋" w:hAnsi="仿宋" w:eastAsia="仿宋"/>
          <w:sz w:val="28"/>
          <w:szCs w:val="28"/>
        </w:rPr>
        <w:t>箱；物理治疗设备</w:t>
      </w:r>
      <w:r>
        <w:rPr>
          <w:rFonts w:ascii="仿宋" w:hAnsi="仿宋" w:eastAsia="仿宋"/>
          <w:sz w:val="28"/>
          <w:szCs w:val="28"/>
        </w:rPr>
        <w:t>6260</w:t>
      </w:r>
      <w:r>
        <w:rPr>
          <w:rFonts w:hint="eastAsia" w:ascii="仿宋" w:hAnsi="仿宋" w:eastAsia="仿宋"/>
          <w:sz w:val="28"/>
          <w:szCs w:val="28"/>
        </w:rPr>
        <w:t>箱；日化用品</w:t>
      </w:r>
      <w:r>
        <w:rPr>
          <w:rFonts w:ascii="仿宋" w:hAnsi="仿宋" w:eastAsia="仿宋"/>
          <w:sz w:val="28"/>
          <w:szCs w:val="28"/>
        </w:rPr>
        <w:t>22740</w:t>
      </w:r>
      <w:r>
        <w:rPr>
          <w:rFonts w:hint="eastAsia" w:ascii="仿宋" w:hAnsi="仿宋" w:eastAsia="仿宋"/>
          <w:sz w:val="28"/>
          <w:szCs w:val="28"/>
        </w:rPr>
        <w:t>箱</w:t>
      </w:r>
      <w:r>
        <w:rPr>
          <w:rFonts w:ascii="仿宋" w:hAnsi="仿宋" w:eastAsia="仿宋"/>
          <w:sz w:val="28"/>
          <w:szCs w:val="28"/>
        </w:rPr>
        <w:t>)</w:t>
      </w:r>
      <w:r>
        <w:rPr>
          <w:rFonts w:hint="eastAsia" w:ascii="仿宋" w:hAnsi="仿宋" w:eastAsia="仿宋"/>
          <w:sz w:val="28"/>
          <w:szCs w:val="28"/>
        </w:rPr>
        <w:t>建设项目委托北京嘉和绿洲环保技术投资有限公司对该项目进行环境影响评价，</w:t>
      </w:r>
      <w:r>
        <w:rPr>
          <w:rFonts w:ascii="仿宋" w:hAnsi="仿宋" w:eastAsia="仿宋"/>
          <w:sz w:val="28"/>
          <w:szCs w:val="28"/>
        </w:rPr>
        <w:t>2010</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月获得了高新区环境保护局（苏新环项</w:t>
      </w:r>
      <w:r>
        <w:rPr>
          <w:rFonts w:ascii="仿宋" w:hAnsi="仿宋" w:eastAsia="仿宋"/>
          <w:sz w:val="28"/>
          <w:szCs w:val="28"/>
        </w:rPr>
        <w:t>[2010]789</w:t>
      </w:r>
      <w:r>
        <w:rPr>
          <w:rFonts w:hint="eastAsia" w:ascii="仿宋" w:hAnsi="仿宋" w:eastAsia="仿宋"/>
          <w:sz w:val="28"/>
          <w:szCs w:val="28"/>
        </w:rPr>
        <w:t>号）审批同意建设。</w:t>
      </w:r>
    </w:p>
    <w:p>
      <w:pPr>
        <w:autoSpaceDE w:val="0"/>
        <w:autoSpaceDN w:val="0"/>
        <w:adjustRightIn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江苏奇力康皮肤药业有限公司扩建项目</w:t>
      </w:r>
      <w:r>
        <w:rPr>
          <w:rFonts w:ascii="仿宋" w:hAnsi="仿宋" w:eastAsia="仿宋"/>
          <w:sz w:val="28"/>
          <w:szCs w:val="28"/>
        </w:rPr>
        <w:t>(</w:t>
      </w:r>
      <w:r>
        <w:rPr>
          <w:rFonts w:hint="eastAsia" w:ascii="仿宋" w:hAnsi="仿宋" w:eastAsia="仿宋"/>
          <w:sz w:val="28"/>
          <w:szCs w:val="28"/>
        </w:rPr>
        <w:t>年产医用卫生材料及敷料</w:t>
      </w:r>
      <w:r>
        <w:rPr>
          <w:rFonts w:ascii="仿宋" w:hAnsi="仿宋" w:eastAsia="仿宋"/>
          <w:sz w:val="28"/>
          <w:szCs w:val="28"/>
        </w:rPr>
        <w:t>2000</w:t>
      </w:r>
      <w:r>
        <w:rPr>
          <w:rFonts w:hint="eastAsia" w:ascii="仿宋" w:hAnsi="仿宋" w:eastAsia="仿宋"/>
          <w:sz w:val="28"/>
          <w:szCs w:val="28"/>
        </w:rPr>
        <w:t>箱；中医器械</w:t>
      </w:r>
      <w:r>
        <w:rPr>
          <w:rFonts w:ascii="仿宋" w:hAnsi="仿宋" w:eastAsia="仿宋"/>
          <w:sz w:val="28"/>
          <w:szCs w:val="28"/>
        </w:rPr>
        <w:t>5000</w:t>
      </w:r>
      <w:r>
        <w:rPr>
          <w:rFonts w:hint="eastAsia" w:ascii="仿宋" w:hAnsi="仿宋" w:eastAsia="仿宋"/>
          <w:sz w:val="28"/>
          <w:szCs w:val="28"/>
        </w:rPr>
        <w:t>箱；医用冷疗、低温、冷藏设备及器具</w:t>
      </w:r>
      <w:r>
        <w:rPr>
          <w:rFonts w:ascii="仿宋" w:hAnsi="仿宋" w:eastAsia="仿宋"/>
          <w:sz w:val="28"/>
          <w:szCs w:val="28"/>
        </w:rPr>
        <w:t>5000</w:t>
      </w:r>
      <w:r>
        <w:rPr>
          <w:rFonts w:hint="eastAsia" w:ascii="仿宋" w:hAnsi="仿宋" w:eastAsia="仿宋"/>
          <w:sz w:val="28"/>
          <w:szCs w:val="28"/>
        </w:rPr>
        <w:t>箱；物理治疗设备</w:t>
      </w:r>
      <w:r>
        <w:rPr>
          <w:rFonts w:ascii="仿宋" w:hAnsi="仿宋" w:eastAsia="仿宋"/>
          <w:sz w:val="28"/>
          <w:szCs w:val="28"/>
        </w:rPr>
        <w:t>6260</w:t>
      </w:r>
      <w:r>
        <w:rPr>
          <w:rFonts w:hint="eastAsia" w:ascii="仿宋" w:hAnsi="仿宋" w:eastAsia="仿宋"/>
          <w:sz w:val="28"/>
          <w:szCs w:val="28"/>
        </w:rPr>
        <w:t>箱；日化用品</w:t>
      </w:r>
      <w:r>
        <w:rPr>
          <w:rFonts w:ascii="仿宋" w:hAnsi="仿宋" w:eastAsia="仿宋"/>
          <w:sz w:val="28"/>
          <w:szCs w:val="28"/>
        </w:rPr>
        <w:t>22740</w:t>
      </w:r>
      <w:r>
        <w:rPr>
          <w:rFonts w:hint="eastAsia" w:ascii="仿宋" w:hAnsi="仿宋" w:eastAsia="仿宋"/>
          <w:sz w:val="28"/>
          <w:szCs w:val="28"/>
        </w:rPr>
        <w:t>箱</w:t>
      </w:r>
      <w:r>
        <w:rPr>
          <w:rFonts w:ascii="仿宋" w:hAnsi="仿宋" w:eastAsia="仿宋"/>
          <w:sz w:val="28"/>
          <w:szCs w:val="28"/>
        </w:rPr>
        <w:t>)</w:t>
      </w:r>
      <w:r>
        <w:rPr>
          <w:rFonts w:hint="eastAsia" w:ascii="仿宋" w:hAnsi="仿宋" w:eastAsia="仿宋"/>
          <w:sz w:val="28"/>
          <w:szCs w:val="28"/>
        </w:rPr>
        <w:t>建设项目，为本次验收工程</w:t>
      </w:r>
      <w:r>
        <w:rPr>
          <w:rFonts w:ascii="仿宋" w:hAnsi="仿宋" w:eastAsia="仿宋"/>
          <w:sz w:val="28"/>
          <w:szCs w:val="28"/>
        </w:rPr>
        <w:t>(</w:t>
      </w:r>
      <w:r>
        <w:rPr>
          <w:rFonts w:hint="eastAsia" w:ascii="仿宋" w:hAnsi="仿宋" w:eastAsia="仿宋"/>
          <w:sz w:val="28"/>
          <w:szCs w:val="28"/>
        </w:rPr>
        <w:t>以下称本项目</w:t>
      </w:r>
      <w:r>
        <w:rPr>
          <w:rFonts w:ascii="仿宋" w:hAnsi="仿宋" w:eastAsia="仿宋"/>
          <w:sz w:val="28"/>
          <w:szCs w:val="28"/>
        </w:rPr>
        <w:t>)</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本项目投产以来，各类设施运行稳定，基本具备了建设项目竣工环境保护验收监测条件。</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月江苏奇力康皮肤药业有限公司委托江苏创盛环境监测技术有限公司对本项目的竣工环境保护验收监测工作进行了现场勘查、资料收集，并编制验收监测方案，于</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27</w:t>
      </w:r>
      <w:r>
        <w:rPr>
          <w:rFonts w:hint="eastAsia" w:ascii="仿宋" w:hAnsi="仿宋" w:eastAsia="仿宋"/>
          <w:sz w:val="28"/>
          <w:szCs w:val="28"/>
        </w:rPr>
        <w:t>日至</w:t>
      </w:r>
      <w:r>
        <w:rPr>
          <w:rFonts w:ascii="仿宋" w:hAnsi="仿宋" w:eastAsia="仿宋"/>
          <w:sz w:val="28"/>
          <w:szCs w:val="28"/>
        </w:rPr>
        <w:t>28</w:t>
      </w:r>
      <w:r>
        <w:rPr>
          <w:rFonts w:hint="eastAsia" w:ascii="仿宋" w:hAnsi="仿宋" w:eastAsia="仿宋"/>
          <w:sz w:val="28"/>
          <w:szCs w:val="28"/>
        </w:rPr>
        <w:t>日对本项目进行了环境保护验收监测，根据监测和检查结果编制了本验收监测报告。</w:t>
      </w:r>
    </w:p>
    <w:p>
      <w:pPr>
        <w:autoSpaceDE w:val="0"/>
        <w:autoSpaceDN w:val="0"/>
        <w:adjustRightInd w:val="0"/>
        <w:spacing w:line="500" w:lineRule="exact"/>
        <w:ind w:firstLine="703" w:firstLineChars="250"/>
        <w:jc w:val="left"/>
        <w:rPr>
          <w:rFonts w:ascii="仿宋" w:hAnsi="仿宋" w:eastAsia="仿宋"/>
          <w:b/>
          <w:sz w:val="28"/>
          <w:szCs w:val="28"/>
        </w:rPr>
      </w:pPr>
      <w:r>
        <w:rPr>
          <w:rFonts w:hint="eastAsia" w:ascii="仿宋" w:hAnsi="仿宋" w:eastAsia="仿宋"/>
          <w:b/>
          <w:sz w:val="28"/>
          <w:szCs w:val="28"/>
        </w:rPr>
        <w:t>二、工程变动情况</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根据现场踏勘情况，本项目生产性质、规模、原料使用、生产工艺没有发生。污染防治措施稍有变化</w:t>
      </w:r>
      <w:r>
        <w:rPr>
          <w:rFonts w:ascii="仿宋" w:hAnsi="仿宋" w:eastAsia="仿宋"/>
          <w:sz w:val="28"/>
          <w:szCs w:val="28"/>
        </w:rPr>
        <w:t>,</w:t>
      </w:r>
      <w:r>
        <w:rPr>
          <w:rFonts w:hint="eastAsia" w:ascii="仿宋" w:hAnsi="仿宋" w:eastAsia="仿宋"/>
          <w:sz w:val="28"/>
          <w:szCs w:val="28"/>
        </w:rPr>
        <w:t>环评中以无组织形式排放的非甲烷总烃有机废气改为通过集气罩收集后由</w:t>
      </w:r>
      <w:r>
        <w:rPr>
          <w:rFonts w:ascii="仿宋" w:hAnsi="仿宋" w:eastAsia="仿宋"/>
          <w:sz w:val="28"/>
          <w:szCs w:val="28"/>
        </w:rPr>
        <w:t>15</w:t>
      </w:r>
      <w:r>
        <w:rPr>
          <w:rFonts w:hint="eastAsia" w:ascii="仿宋" w:hAnsi="仿宋" w:eastAsia="仿宋"/>
          <w:sz w:val="28"/>
          <w:szCs w:val="28"/>
        </w:rPr>
        <w:t>米高排气筒达标排放。对照《关于加强建设项目重大变动环评管理的通知》（苏环办﹝</w:t>
      </w:r>
      <w:r>
        <w:rPr>
          <w:rFonts w:ascii="仿宋" w:hAnsi="仿宋" w:eastAsia="仿宋"/>
          <w:sz w:val="28"/>
          <w:szCs w:val="28"/>
        </w:rPr>
        <w:t>2015</w:t>
      </w:r>
      <w:r>
        <w:rPr>
          <w:rFonts w:hint="eastAsia" w:ascii="仿宋" w:hAnsi="仿宋" w:eastAsia="仿宋"/>
          <w:sz w:val="28"/>
          <w:szCs w:val="28"/>
        </w:rPr>
        <w:t>﹞</w:t>
      </w:r>
      <w:r>
        <w:rPr>
          <w:rFonts w:ascii="仿宋" w:hAnsi="仿宋" w:eastAsia="仿宋"/>
          <w:sz w:val="28"/>
          <w:szCs w:val="28"/>
        </w:rPr>
        <w:t>256</w:t>
      </w:r>
      <w:r>
        <w:rPr>
          <w:rFonts w:hint="eastAsia" w:ascii="仿宋" w:hAnsi="仿宋" w:eastAsia="仿宋"/>
          <w:sz w:val="28"/>
          <w:szCs w:val="28"/>
        </w:rPr>
        <w:t>号）及《关于加强苏州高新区工业类建设项目重大变动环评管理（试行）的通知》（苏高新环</w:t>
      </w:r>
      <w:r>
        <w:rPr>
          <w:rFonts w:ascii="仿宋" w:hAnsi="仿宋" w:eastAsia="仿宋"/>
          <w:sz w:val="28"/>
          <w:szCs w:val="28"/>
        </w:rPr>
        <w:t>[2016]14</w:t>
      </w:r>
      <w:r>
        <w:rPr>
          <w:rFonts w:hint="eastAsia" w:ascii="仿宋" w:hAnsi="仿宋" w:eastAsia="仿宋"/>
          <w:sz w:val="28"/>
          <w:szCs w:val="28"/>
        </w:rPr>
        <w:t>号）有关内容，此变化因此不属于建设项目重大变动。可纳入本次环保验收的范围。</w:t>
      </w:r>
    </w:p>
    <w:p>
      <w:pPr>
        <w:autoSpaceDE w:val="0"/>
        <w:autoSpaceDN w:val="0"/>
        <w:adjustRightInd w:val="0"/>
        <w:spacing w:line="500" w:lineRule="exact"/>
        <w:ind w:firstLine="703" w:firstLineChars="250"/>
        <w:jc w:val="left"/>
        <w:rPr>
          <w:rFonts w:ascii="仿宋" w:hAnsi="仿宋" w:eastAsia="仿宋"/>
          <w:b/>
          <w:sz w:val="28"/>
          <w:szCs w:val="28"/>
        </w:rPr>
      </w:pPr>
      <w:r>
        <w:rPr>
          <w:rFonts w:hint="eastAsia" w:ascii="仿宋" w:hAnsi="仿宋" w:eastAsia="仿宋"/>
          <w:b/>
          <w:sz w:val="28"/>
          <w:szCs w:val="28"/>
        </w:rPr>
        <w:t>三、环境保护设施落实情况</w:t>
      </w:r>
    </w:p>
    <w:p>
      <w:pPr>
        <w:pStyle w:val="2"/>
        <w:spacing w:line="500" w:lineRule="exact"/>
        <w:rPr>
          <w:rFonts w:ascii="仿宋" w:hAnsi="仿宋" w:eastAsia="仿宋"/>
          <w:sz w:val="28"/>
          <w:szCs w:val="28"/>
        </w:rPr>
      </w:pPr>
      <w:r>
        <w:rPr>
          <w:rFonts w:hint="eastAsia" w:ascii="仿宋" w:hAnsi="仿宋" w:eastAsia="仿宋"/>
          <w:sz w:val="28"/>
          <w:szCs w:val="28"/>
        </w:rPr>
        <w:t>本项目生产废气主要是在物理治疗设备生产时，在混合搅拌环节产生少量的有机废气，以非甲烷总烃计，以无组织形式排放至周围环境大气中。生产废水（清洗废水）委托苏州市和源环保科技有限公司处置；制造纯水产生的浓水作为清下水直接排放；公辅废水循环使用，不外排；生活污水接入污水管网，进入苏州高新污水有限公司第二污水厂处理【苏新排（</w:t>
      </w:r>
      <w:r>
        <w:rPr>
          <w:rFonts w:ascii="仿宋" w:hAnsi="仿宋" w:eastAsia="仿宋"/>
          <w:sz w:val="28"/>
          <w:szCs w:val="28"/>
        </w:rPr>
        <w:t>2018</w:t>
      </w:r>
      <w:r>
        <w:rPr>
          <w:rFonts w:hint="eastAsia" w:ascii="仿宋" w:hAnsi="仿宋" w:eastAsia="仿宋"/>
          <w:sz w:val="28"/>
          <w:szCs w:val="28"/>
        </w:rPr>
        <w:t>）许字</w:t>
      </w:r>
      <w:r>
        <w:rPr>
          <w:rFonts w:ascii="仿宋" w:hAnsi="仿宋" w:eastAsia="仿宋"/>
          <w:sz w:val="28"/>
          <w:szCs w:val="28"/>
        </w:rPr>
        <w:t>14</w:t>
      </w:r>
      <w:r>
        <w:rPr>
          <w:rFonts w:hint="eastAsia" w:ascii="仿宋" w:hAnsi="仿宋" w:eastAsia="仿宋"/>
          <w:sz w:val="28"/>
          <w:szCs w:val="28"/>
        </w:rPr>
        <w:t>号】。</w:t>
      </w:r>
    </w:p>
    <w:p>
      <w:pPr>
        <w:autoSpaceDE w:val="0"/>
        <w:autoSpaceDN w:val="0"/>
        <w:adjustRightInd w:val="0"/>
        <w:spacing w:line="500" w:lineRule="exact"/>
        <w:ind w:firstLine="700" w:firstLineChars="25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根据验收监测报告结论，结合现场检查，本项目运行管理基本符合环评和环评批复要求。在验收监测期间，本项目生产状况已达到设计产能的</w:t>
      </w:r>
      <w:r>
        <w:rPr>
          <w:rFonts w:ascii="仿宋" w:hAnsi="仿宋" w:eastAsia="仿宋" w:cs="Arial"/>
          <w:color w:val="000000"/>
          <w:kern w:val="0"/>
          <w:sz w:val="28"/>
          <w:szCs w:val="28"/>
        </w:rPr>
        <w:t>75%</w:t>
      </w:r>
      <w:r>
        <w:rPr>
          <w:rFonts w:hint="eastAsia" w:ascii="仿宋" w:hAnsi="仿宋" w:eastAsia="仿宋" w:cs="Arial"/>
          <w:color w:val="000000"/>
          <w:kern w:val="0"/>
          <w:sz w:val="28"/>
          <w:szCs w:val="28"/>
        </w:rPr>
        <w:t>以上，符合验收监测要求。</w:t>
      </w:r>
    </w:p>
    <w:p>
      <w:pPr>
        <w:widowControl/>
        <w:spacing w:line="500" w:lineRule="exact"/>
        <w:ind w:firstLine="562" w:firstLineChars="200"/>
        <w:rPr>
          <w:rFonts w:ascii="仿宋" w:hAnsi="仿宋" w:eastAsia="仿宋"/>
          <w:b/>
          <w:sz w:val="28"/>
          <w:szCs w:val="28"/>
        </w:rPr>
      </w:pPr>
      <w:r>
        <w:rPr>
          <w:rFonts w:hint="eastAsia" w:ascii="仿宋" w:hAnsi="仿宋" w:eastAsia="仿宋" w:cs="Arial"/>
          <w:b/>
          <w:bCs/>
          <w:color w:val="000000"/>
          <w:kern w:val="0"/>
          <w:sz w:val="28"/>
          <w:szCs w:val="28"/>
        </w:rPr>
        <w:t>四、</w:t>
      </w:r>
      <w:r>
        <w:rPr>
          <w:rFonts w:hint="eastAsia" w:ascii="仿宋" w:hAnsi="仿宋" w:eastAsia="仿宋"/>
          <w:b/>
          <w:sz w:val="28"/>
          <w:szCs w:val="28"/>
        </w:rPr>
        <w:t>环境保护设施调试效果</w:t>
      </w:r>
    </w:p>
    <w:p>
      <w:pPr>
        <w:widowControl/>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根据验收调查报告结论，结合监测结果表明：厂区内实现雨、污分流，污水接管口出水监测结果表明：能满足</w:t>
      </w:r>
      <w:r>
        <w:rPr>
          <w:rFonts w:hint="eastAsia" w:ascii="仿宋" w:hAnsi="仿宋" w:eastAsia="仿宋"/>
          <w:color w:val="000000"/>
          <w:sz w:val="28"/>
          <w:szCs w:val="28"/>
        </w:rPr>
        <w:t>新区</w:t>
      </w:r>
      <w:r>
        <w:rPr>
          <w:rFonts w:hint="eastAsia" w:ascii="仿宋" w:hAnsi="仿宋" w:eastAsia="仿宋"/>
          <w:color w:val="000000"/>
          <w:spacing w:val="10"/>
          <w:sz w:val="28"/>
          <w:szCs w:val="28"/>
        </w:rPr>
        <w:t>第二</w:t>
      </w:r>
      <w:r>
        <w:rPr>
          <w:rFonts w:hint="eastAsia" w:ascii="仿宋" w:hAnsi="仿宋" w:eastAsia="仿宋"/>
          <w:color w:val="000000"/>
          <w:sz w:val="28"/>
          <w:szCs w:val="28"/>
        </w:rPr>
        <w:t>污水处理厂</w:t>
      </w:r>
      <w:r>
        <w:rPr>
          <w:rFonts w:hint="eastAsia" w:ascii="仿宋" w:hAnsi="仿宋" w:eastAsia="仿宋" w:cs="Arial"/>
          <w:color w:val="000000"/>
          <w:kern w:val="0"/>
          <w:sz w:val="28"/>
          <w:szCs w:val="28"/>
        </w:rPr>
        <w:t>接管标准。非甲烷总烃废气排放，符合环评中要求；无组织废气厂界达标排放。</w:t>
      </w:r>
    </w:p>
    <w:p>
      <w:pPr>
        <w:widowControl/>
        <w:spacing w:line="500" w:lineRule="exact"/>
        <w:ind w:firstLine="562" w:firstLineChars="200"/>
        <w:rPr>
          <w:rFonts w:ascii="仿宋" w:hAnsi="仿宋" w:eastAsia="仿宋" w:cs="Arial"/>
          <w:b/>
          <w:color w:val="000000"/>
          <w:kern w:val="0"/>
          <w:sz w:val="28"/>
          <w:szCs w:val="28"/>
        </w:rPr>
      </w:pPr>
      <w:r>
        <w:rPr>
          <w:rFonts w:hint="eastAsia" w:ascii="仿宋" w:hAnsi="仿宋" w:eastAsia="仿宋" w:cs="Arial"/>
          <w:b/>
          <w:color w:val="000000"/>
          <w:kern w:val="0"/>
          <w:sz w:val="28"/>
          <w:szCs w:val="28"/>
        </w:rPr>
        <w:t>五、工程建设对环境的影响</w:t>
      </w:r>
    </w:p>
    <w:p>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本项目生产废水主要是设备清洗废水，产生量为</w:t>
      </w:r>
      <w:r>
        <w:rPr>
          <w:rFonts w:ascii="仿宋" w:hAnsi="仿宋" w:eastAsia="仿宋" w:cs="Arial"/>
          <w:color w:val="000000"/>
          <w:kern w:val="0"/>
          <w:sz w:val="28"/>
          <w:szCs w:val="28"/>
        </w:rPr>
        <w:t>10t/a</w:t>
      </w:r>
      <w:r>
        <w:rPr>
          <w:rFonts w:hint="eastAsia" w:ascii="仿宋" w:hAnsi="仿宋" w:eastAsia="仿宋" w:cs="Arial"/>
          <w:color w:val="000000"/>
          <w:kern w:val="0"/>
          <w:sz w:val="28"/>
          <w:szCs w:val="28"/>
        </w:rPr>
        <w:t>，收集后作为危废委外处理；生活污水接入污水管网，进入苏州高新污水有限公司第二污水厂处理后达标排放，对地表水环境影响较小。</w:t>
      </w:r>
    </w:p>
    <w:p>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本项目生产废气主要是搅拌过程中产生的有机废气，以非甲烷总烃计，通过集气罩收集后排放，对周围大气环境影响较小。</w:t>
      </w:r>
    </w:p>
    <w:p>
      <w:pPr>
        <w:widowControl/>
        <w:spacing w:line="500" w:lineRule="exact"/>
        <w:ind w:firstLine="703" w:firstLineChars="250"/>
        <w:rPr>
          <w:rFonts w:ascii="仿宋" w:hAnsi="仿宋" w:eastAsia="仿宋" w:cs="Arial"/>
          <w:b/>
          <w:color w:val="000000"/>
          <w:kern w:val="0"/>
          <w:sz w:val="28"/>
          <w:szCs w:val="28"/>
        </w:rPr>
      </w:pPr>
      <w:r>
        <w:rPr>
          <w:rFonts w:hint="eastAsia" w:ascii="仿宋" w:hAnsi="仿宋" w:eastAsia="仿宋" w:cs="Arial"/>
          <w:b/>
          <w:color w:val="000000"/>
          <w:kern w:val="0"/>
          <w:sz w:val="28"/>
          <w:szCs w:val="28"/>
        </w:rPr>
        <w:t>六、</w:t>
      </w:r>
      <w:r>
        <w:rPr>
          <w:rFonts w:hint="eastAsia" w:ascii="仿宋" w:hAnsi="仿宋" w:eastAsia="仿宋"/>
          <w:b/>
          <w:sz w:val="28"/>
          <w:szCs w:val="28"/>
        </w:rPr>
        <w:t>验收结论和后续要求</w:t>
      </w:r>
    </w:p>
    <w:p>
      <w:pPr>
        <w:pStyle w:val="16"/>
        <w:spacing w:line="500" w:lineRule="exact"/>
        <w:ind w:firstLine="560" w:firstLineChars="200"/>
        <w:rPr>
          <w:rFonts w:ascii="仿宋" w:hAnsi="仿宋" w:eastAsia="仿宋"/>
          <w:sz w:val="28"/>
          <w:szCs w:val="28"/>
        </w:rPr>
      </w:pPr>
      <w:r>
        <w:rPr>
          <w:rFonts w:ascii="仿宋" w:hAnsi="仿宋" w:eastAsia="仿宋" w:cs="Arial"/>
          <w:sz w:val="28"/>
          <w:szCs w:val="28"/>
        </w:rPr>
        <w:t>1</w:t>
      </w:r>
      <w:r>
        <w:rPr>
          <w:rFonts w:hint="eastAsia" w:ascii="仿宋" w:hAnsi="仿宋" w:eastAsia="仿宋" w:cs="Arial"/>
          <w:sz w:val="28"/>
          <w:szCs w:val="28"/>
        </w:rPr>
        <w:t>．</w:t>
      </w:r>
      <w:r>
        <w:rPr>
          <w:rFonts w:hint="eastAsia" w:ascii="仿宋" w:hAnsi="仿宋" w:eastAsia="仿宋"/>
          <w:sz w:val="28"/>
          <w:szCs w:val="28"/>
        </w:rPr>
        <w:t>验收结论</w:t>
      </w:r>
    </w:p>
    <w:p>
      <w:pPr>
        <w:pStyle w:val="16"/>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根据该工程项目竣工环境保护验收监测报告和现场检查，项目环保手续完备，技术资料齐全，执行了环境影响评价和“三同时”管理制度，基本落实了环评报告及其批复所规定的各项环境污染防治措施，污染物可达标排放，达到竣工环保验收要求。</w:t>
      </w:r>
    </w:p>
    <w:p>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本项目批建基本相符，排入污水处理厂的</w:t>
      </w:r>
      <w:r>
        <w:rPr>
          <w:rFonts w:ascii="仿宋" w:hAnsi="仿宋" w:eastAsia="仿宋" w:cs="Arial"/>
          <w:color w:val="000000"/>
          <w:kern w:val="0"/>
          <w:sz w:val="28"/>
          <w:szCs w:val="28"/>
        </w:rPr>
        <w:t>CODcr</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SS</w:t>
      </w:r>
      <w:r>
        <w:rPr>
          <w:rFonts w:hint="eastAsia" w:ascii="仿宋" w:hAnsi="仿宋" w:eastAsia="仿宋" w:cs="Arial"/>
          <w:color w:val="000000"/>
          <w:kern w:val="0"/>
          <w:sz w:val="28"/>
          <w:szCs w:val="28"/>
        </w:rPr>
        <w:t>、氨氮、总磷的年排放总量指标均满足环评中核定的总量控制要求。验收组经认真讨论，一致认为</w:t>
      </w:r>
      <w:r>
        <w:rPr>
          <w:rFonts w:hint="eastAsia" w:ascii="仿宋" w:hAnsi="仿宋" w:eastAsia="仿宋"/>
          <w:sz w:val="28"/>
          <w:szCs w:val="28"/>
        </w:rPr>
        <w:t>江苏奇力康皮肤药业有限公司扩建项目</w:t>
      </w:r>
      <w:r>
        <w:rPr>
          <w:rFonts w:hint="eastAsia" w:ascii="仿宋" w:hAnsi="仿宋" w:eastAsia="仿宋" w:cs="Arial"/>
          <w:color w:val="000000"/>
          <w:kern w:val="0"/>
          <w:sz w:val="28"/>
          <w:szCs w:val="28"/>
        </w:rPr>
        <w:t>在环境保护方面符合竣工验收条件，</w:t>
      </w:r>
      <w:r>
        <w:rPr>
          <w:rFonts w:hint="eastAsia" w:ascii="Times New Roman" w:hAnsi="仿宋" w:eastAsia="仿宋"/>
          <w:sz w:val="28"/>
          <w:szCs w:val="28"/>
        </w:rPr>
        <w:t>在完</w:t>
      </w:r>
      <w:r>
        <w:rPr>
          <w:rFonts w:hint="eastAsia" w:ascii="仿宋" w:hAnsi="仿宋" w:eastAsia="仿宋" w:cs="Arial"/>
          <w:sz w:val="28"/>
          <w:szCs w:val="28"/>
        </w:rPr>
        <w:t>成</w:t>
      </w:r>
      <w:r>
        <w:rPr>
          <w:rFonts w:hint="eastAsia" w:ascii="Times New Roman" w:hAnsi="仿宋" w:eastAsia="仿宋"/>
          <w:sz w:val="28"/>
          <w:szCs w:val="28"/>
        </w:rPr>
        <w:t>增加</w:t>
      </w:r>
      <w:r>
        <w:rPr>
          <w:rFonts w:hint="eastAsia" w:ascii="仿宋" w:hAnsi="仿宋" w:eastAsia="仿宋" w:cs="Arial"/>
          <w:sz w:val="28"/>
          <w:szCs w:val="28"/>
        </w:rPr>
        <w:t>补充监测有组织排放的</w:t>
      </w:r>
      <w:r>
        <w:rPr>
          <w:rFonts w:hint="eastAsia" w:ascii="仿宋" w:hAnsi="仿宋" w:eastAsia="仿宋"/>
          <w:sz w:val="28"/>
          <w:szCs w:val="28"/>
        </w:rPr>
        <w:t>非甲烷总烃及臭气浓度</w:t>
      </w:r>
      <w:r>
        <w:rPr>
          <w:rFonts w:hint="eastAsia" w:ascii="仿宋" w:hAnsi="仿宋" w:eastAsia="仿宋" w:cs="Arial"/>
          <w:sz w:val="28"/>
          <w:szCs w:val="28"/>
        </w:rPr>
        <w:t>废气的前提下，</w:t>
      </w:r>
      <w:r>
        <w:rPr>
          <w:rFonts w:hint="eastAsia" w:ascii="仿宋" w:hAnsi="仿宋" w:eastAsia="仿宋" w:cs="Arial"/>
          <w:color w:val="000000"/>
          <w:kern w:val="0"/>
          <w:sz w:val="28"/>
          <w:szCs w:val="28"/>
        </w:rPr>
        <w:t>本项目废水</w:t>
      </w:r>
      <w:r>
        <w:rPr>
          <w:rFonts w:hint="eastAsia" w:ascii="仿宋" w:hAnsi="仿宋" w:eastAsia="仿宋" w:cs="Arial"/>
          <w:sz w:val="28"/>
          <w:szCs w:val="28"/>
        </w:rPr>
        <w:t>和废</w:t>
      </w:r>
      <w:r>
        <w:rPr>
          <w:rFonts w:hint="eastAsia" w:ascii="Times New Roman" w:hAnsi="仿宋" w:eastAsia="仿宋"/>
          <w:color w:val="000000"/>
          <w:kern w:val="0"/>
          <w:sz w:val="28"/>
          <w:szCs w:val="28"/>
        </w:rPr>
        <w:t>气</w:t>
      </w:r>
      <w:r>
        <w:rPr>
          <w:rFonts w:hint="eastAsia" w:ascii="仿宋" w:hAnsi="仿宋" w:eastAsia="仿宋" w:cs="Arial"/>
          <w:color w:val="000000"/>
          <w:kern w:val="0"/>
          <w:sz w:val="28"/>
          <w:szCs w:val="28"/>
        </w:rPr>
        <w:t>环境保护设施竣工验收合格。</w:t>
      </w:r>
    </w:p>
    <w:p>
      <w:pPr>
        <w:widowControl/>
        <w:spacing w:line="500" w:lineRule="exact"/>
        <w:ind w:firstLine="420" w:firstLineChars="150"/>
        <w:rPr>
          <w:rFonts w:ascii="仿宋" w:hAnsi="仿宋" w:eastAsia="仿宋"/>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w:t>
      </w:r>
      <w:r>
        <w:rPr>
          <w:rFonts w:hint="eastAsia" w:ascii="仿宋" w:hAnsi="仿宋" w:eastAsia="仿宋"/>
          <w:sz w:val="28"/>
          <w:szCs w:val="28"/>
        </w:rPr>
        <w:t>后续要求</w:t>
      </w:r>
    </w:p>
    <w:p>
      <w:pPr>
        <w:pStyle w:val="16"/>
        <w:snapToGrid w:val="0"/>
        <w:spacing w:line="500" w:lineRule="exact"/>
        <w:ind w:firstLine="560" w:firstLineChars="200"/>
        <w:jc w:val="both"/>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1</w:t>
      </w:r>
      <w:r>
        <w:rPr>
          <w:rFonts w:hint="eastAsia" w:ascii="仿宋" w:hAnsi="仿宋" w:eastAsia="仿宋" w:cs="Arial"/>
          <w:sz w:val="28"/>
          <w:szCs w:val="28"/>
        </w:rPr>
        <w:t>）排污口设置按《江苏省排污口设置及规范化整治管理办法》（苏环控【</w:t>
      </w:r>
      <w:r>
        <w:rPr>
          <w:rFonts w:ascii="仿宋" w:hAnsi="仿宋" w:eastAsia="仿宋" w:cs="Arial"/>
          <w:sz w:val="28"/>
          <w:szCs w:val="28"/>
        </w:rPr>
        <w:t>1997</w:t>
      </w:r>
      <w:r>
        <w:rPr>
          <w:rFonts w:hint="eastAsia" w:ascii="仿宋" w:hAnsi="仿宋" w:eastAsia="仿宋" w:cs="Arial"/>
          <w:sz w:val="28"/>
          <w:szCs w:val="28"/>
        </w:rPr>
        <w:t>】</w:t>
      </w:r>
      <w:r>
        <w:rPr>
          <w:rFonts w:ascii="仿宋" w:hAnsi="仿宋" w:eastAsia="仿宋" w:cs="Arial"/>
          <w:sz w:val="28"/>
          <w:szCs w:val="28"/>
        </w:rPr>
        <w:t>122</w:t>
      </w:r>
      <w:r>
        <w:rPr>
          <w:rFonts w:hint="eastAsia" w:ascii="仿宋" w:hAnsi="仿宋" w:eastAsia="仿宋" w:cs="Arial"/>
          <w:sz w:val="28"/>
          <w:szCs w:val="28"/>
        </w:rPr>
        <w:t>号文）的要求执行。各类污染物排放口须设置监测采样口并安装环保标志牌。</w:t>
      </w:r>
    </w:p>
    <w:p>
      <w:pPr>
        <w:pStyle w:val="16"/>
        <w:spacing w:line="500" w:lineRule="exact"/>
        <w:ind w:firstLine="560" w:firstLineChars="200"/>
        <w:rPr>
          <w:rFonts w:ascii="Times New Roman" w:hAnsi="仿宋" w:eastAsia="仿宋" w:cs="Times New Roman"/>
          <w:sz w:val="28"/>
          <w:szCs w:val="28"/>
        </w:rPr>
      </w:pPr>
      <w:r>
        <w:rPr>
          <w:rFonts w:hint="eastAsia" w:ascii="仿宋" w:hAnsi="仿宋" w:eastAsia="仿宋" w:cs="Arial"/>
          <w:sz w:val="28"/>
          <w:szCs w:val="28"/>
        </w:rPr>
        <w:t>（</w:t>
      </w:r>
      <w:r>
        <w:rPr>
          <w:rFonts w:ascii="仿宋" w:hAnsi="仿宋" w:eastAsia="仿宋" w:cs="Arial"/>
          <w:sz w:val="28"/>
          <w:szCs w:val="28"/>
        </w:rPr>
        <w:t>2</w:t>
      </w:r>
      <w:r>
        <w:rPr>
          <w:rFonts w:hint="eastAsia" w:ascii="仿宋" w:hAnsi="仿宋" w:eastAsia="仿宋" w:cs="Arial"/>
          <w:sz w:val="28"/>
          <w:szCs w:val="28"/>
        </w:rPr>
        <w:t>）</w:t>
      </w:r>
      <w:r>
        <w:rPr>
          <w:rFonts w:hint="eastAsia" w:ascii="Times New Roman" w:hAnsi="仿宋" w:eastAsia="仿宋" w:cs="Times New Roman"/>
          <w:sz w:val="28"/>
          <w:szCs w:val="28"/>
        </w:rPr>
        <w:t>加强应急管理，完善环境风险防范措施和应急措施，完成环境风险应急预案的修编和备案。</w:t>
      </w:r>
    </w:p>
    <w:p>
      <w:pPr>
        <w:widowControl/>
        <w:spacing w:line="500" w:lineRule="exact"/>
        <w:ind w:firstLine="560" w:firstLineChars="200"/>
        <w:rPr>
          <w:rFonts w:ascii="Times New Roman" w:hAnsi="仿宋" w:eastAsia="仿宋"/>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3</w:t>
      </w:r>
      <w:r>
        <w:rPr>
          <w:rFonts w:hint="eastAsia" w:ascii="仿宋" w:hAnsi="仿宋" w:eastAsia="仿宋" w:cs="Arial"/>
          <w:color w:val="000000"/>
          <w:kern w:val="0"/>
          <w:sz w:val="28"/>
          <w:szCs w:val="28"/>
        </w:rPr>
        <w:t>）项目验收中涉及噪声、固废防治内容，按照《建设项目竣工环境保护验收暂行办法》中的要求办理相关手续。</w:t>
      </w:r>
    </w:p>
    <w:p>
      <w:pPr>
        <w:widowControl/>
        <w:spacing w:line="500" w:lineRule="exact"/>
        <w:ind w:firstLine="420" w:firstLineChars="150"/>
        <w:rPr>
          <w:rFonts w:ascii="仿宋" w:hAnsi="仿宋" w:eastAsia="仿宋" w:cs="Arial"/>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4</w:t>
      </w:r>
      <w:r>
        <w:rPr>
          <w:rFonts w:hint="eastAsia" w:ascii="仿宋" w:hAnsi="仿宋" w:eastAsia="仿宋" w:cs="Arial"/>
          <w:color w:val="000000"/>
          <w:kern w:val="0"/>
          <w:sz w:val="28"/>
          <w:szCs w:val="28"/>
        </w:rPr>
        <w:t>）</w:t>
      </w:r>
      <w:r>
        <w:rPr>
          <w:rFonts w:hint="eastAsia" w:ascii="仿宋" w:hAnsi="仿宋" w:eastAsia="仿宋" w:cs="Arial"/>
          <w:sz w:val="28"/>
          <w:szCs w:val="28"/>
        </w:rPr>
        <w:t>建设单位应按照《建设项目环境影响评价信息公开机制方案》（环发【</w:t>
      </w:r>
      <w:r>
        <w:rPr>
          <w:rFonts w:ascii="仿宋" w:hAnsi="仿宋" w:eastAsia="仿宋" w:cs="Arial"/>
          <w:sz w:val="28"/>
          <w:szCs w:val="28"/>
        </w:rPr>
        <w:t>2015</w:t>
      </w:r>
      <w:r>
        <w:rPr>
          <w:rFonts w:hint="eastAsia" w:ascii="仿宋" w:hAnsi="仿宋" w:eastAsia="仿宋" w:cs="Arial"/>
          <w:sz w:val="28"/>
          <w:szCs w:val="28"/>
        </w:rPr>
        <w:t>】</w:t>
      </w:r>
      <w:r>
        <w:rPr>
          <w:rFonts w:ascii="仿宋" w:hAnsi="仿宋" w:eastAsia="仿宋" w:cs="Arial"/>
          <w:sz w:val="28"/>
          <w:szCs w:val="28"/>
        </w:rPr>
        <w:t>162</w:t>
      </w:r>
      <w:r>
        <w:rPr>
          <w:rFonts w:hint="eastAsia" w:ascii="仿宋" w:hAnsi="仿宋" w:eastAsia="仿宋" w:cs="Arial"/>
          <w:sz w:val="28"/>
          <w:szCs w:val="28"/>
        </w:rPr>
        <w:t>号）做好建设项目建成后的信息公开工作。</w:t>
      </w:r>
    </w:p>
    <w:p>
      <w:pPr>
        <w:snapToGrid w:val="0"/>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）要求公司积极推广循环经济理念，实施清洁生产措施，贯彻</w:t>
      </w:r>
      <w:r>
        <w:rPr>
          <w:rFonts w:ascii="仿宋" w:hAnsi="仿宋" w:eastAsia="仿宋" w:cs="Arial"/>
          <w:color w:val="000000"/>
          <w:kern w:val="0"/>
          <w:sz w:val="28"/>
          <w:szCs w:val="28"/>
        </w:rPr>
        <w:t>ISO14000</w:t>
      </w:r>
      <w:r>
        <w:rPr>
          <w:rFonts w:hint="eastAsia" w:ascii="仿宋" w:hAnsi="仿宋" w:eastAsia="仿宋" w:cs="Arial"/>
          <w:color w:val="000000"/>
          <w:kern w:val="0"/>
          <w:sz w:val="28"/>
          <w:szCs w:val="28"/>
        </w:rPr>
        <w:t>体系。</w:t>
      </w:r>
    </w:p>
    <w:p>
      <w:pPr>
        <w:widowControl/>
        <w:spacing w:line="500" w:lineRule="exact"/>
        <w:ind w:firstLine="560" w:firstLineChars="200"/>
        <w:rPr>
          <w:rFonts w:ascii="仿宋" w:hAnsi="仿宋" w:eastAsia="仿宋"/>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6</w:t>
      </w:r>
      <w:r>
        <w:rPr>
          <w:rFonts w:hint="eastAsia" w:ascii="仿宋" w:hAnsi="仿宋" w:eastAsia="仿宋" w:cs="Arial"/>
          <w:color w:val="000000"/>
          <w:kern w:val="0"/>
          <w:sz w:val="28"/>
          <w:szCs w:val="28"/>
        </w:rPr>
        <w:t>）</w:t>
      </w:r>
      <w:r>
        <w:rPr>
          <w:rFonts w:hint="eastAsia" w:ascii="仿宋" w:hAnsi="仿宋" w:eastAsia="仿宋"/>
          <w:sz w:val="28"/>
          <w:szCs w:val="28"/>
        </w:rPr>
        <w:t>企业应继续完善本单位环保管理制度和管理措施，落实长效管理，确保符合环保相关法律法规要求。</w:t>
      </w:r>
    </w:p>
    <w:p>
      <w:pPr>
        <w:autoSpaceDE w:val="0"/>
        <w:autoSpaceDN w:val="0"/>
        <w:adjustRightInd w:val="0"/>
        <w:spacing w:beforeLines="50" w:line="500" w:lineRule="exact"/>
        <w:rPr>
          <w:rFonts w:ascii="仿宋" w:hAnsi="仿宋" w:eastAsia="仿宋"/>
          <w:b/>
          <w:sz w:val="28"/>
          <w:szCs w:val="28"/>
        </w:rPr>
      </w:pPr>
      <w:r>
        <w:rPr>
          <w:rFonts w:hint="eastAsia" w:ascii="仿宋" w:hAnsi="仿宋" w:eastAsia="仿宋"/>
          <w:b/>
          <w:sz w:val="28"/>
          <w:szCs w:val="28"/>
        </w:rPr>
        <w:t>七、验收组成员</w:t>
      </w:r>
    </w:p>
    <w:p>
      <w:pPr>
        <w:widowControl/>
        <w:spacing w:line="500" w:lineRule="exact"/>
        <w:rPr>
          <w:rFonts w:ascii="仿宋" w:hAnsi="仿宋" w:eastAsia="仿宋" w:cs="Arial"/>
          <w:color w:val="000000"/>
          <w:kern w:val="0"/>
          <w:sz w:val="28"/>
          <w:szCs w:val="28"/>
        </w:rPr>
      </w:pPr>
      <w:r>
        <w:rPr>
          <w:rFonts w:hint="eastAsia" w:ascii="仿宋" w:hAnsi="仿宋" w:eastAsia="仿宋" w:cs="Arial"/>
          <w:color w:val="000000"/>
          <w:kern w:val="0"/>
          <w:sz w:val="28"/>
          <w:szCs w:val="28"/>
        </w:rPr>
        <w:t>验收组成员名单附后。</w:t>
      </w:r>
      <w:r>
        <w:rPr>
          <w:rFonts w:ascii="仿宋" w:hAnsi="仿宋" w:eastAsia="仿宋" w:cs="Arial"/>
          <w:color w:val="000000"/>
          <w:kern w:val="0"/>
          <w:sz w:val="28"/>
          <w:szCs w:val="28"/>
        </w:rPr>
        <w:t xml:space="preserve">      </w:t>
      </w:r>
    </w:p>
    <w:p>
      <w:pPr>
        <w:widowControl/>
        <w:spacing w:line="360" w:lineRule="auto"/>
        <w:ind w:firstLine="420" w:firstLineChars="150"/>
        <w:rPr>
          <w:rFonts w:ascii="仿宋" w:hAnsi="仿宋" w:eastAsia="仿宋" w:cs="Arial"/>
          <w:color w:val="000000"/>
          <w:kern w:val="0"/>
          <w:sz w:val="28"/>
          <w:szCs w:val="28"/>
        </w:rPr>
      </w:pPr>
      <w:r>
        <w:rPr>
          <w:rFonts w:ascii="仿宋" w:hAnsi="仿宋" w:eastAsia="仿宋"/>
          <w:sz w:val="28"/>
          <w:szCs w:val="28"/>
        </w:rPr>
        <w:t xml:space="preserve">                                       </w:t>
      </w:r>
      <w:r>
        <w:rPr>
          <w:rFonts w:ascii="仿宋" w:hAnsi="仿宋" w:eastAsia="仿宋" w:cs="Arial"/>
          <w:color w:val="000000"/>
          <w:kern w:val="0"/>
          <w:sz w:val="28"/>
          <w:szCs w:val="28"/>
        </w:rPr>
        <w:t>2018</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t>10</w:t>
      </w:r>
      <w:r>
        <w:rPr>
          <w:rFonts w:hint="eastAsia" w:ascii="仿宋" w:hAnsi="仿宋" w:eastAsia="仿宋" w:cs="Arial"/>
          <w:color w:val="000000"/>
          <w:kern w:val="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FZXiaoBiaoSong-B05">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E8"/>
    <w:rsid w:val="00017058"/>
    <w:rsid w:val="00031563"/>
    <w:rsid w:val="00040E24"/>
    <w:rsid w:val="00045532"/>
    <w:rsid w:val="00057F75"/>
    <w:rsid w:val="00065599"/>
    <w:rsid w:val="00075E0A"/>
    <w:rsid w:val="00083619"/>
    <w:rsid w:val="000C3735"/>
    <w:rsid w:val="000C6F2B"/>
    <w:rsid w:val="000D6A0A"/>
    <w:rsid w:val="000D6AFF"/>
    <w:rsid w:val="000E4962"/>
    <w:rsid w:val="00107BE5"/>
    <w:rsid w:val="00113AF0"/>
    <w:rsid w:val="001162E2"/>
    <w:rsid w:val="00132753"/>
    <w:rsid w:val="00146E29"/>
    <w:rsid w:val="00161565"/>
    <w:rsid w:val="0017029E"/>
    <w:rsid w:val="00175B19"/>
    <w:rsid w:val="001809E8"/>
    <w:rsid w:val="00194394"/>
    <w:rsid w:val="001A4F3F"/>
    <w:rsid w:val="001B4227"/>
    <w:rsid w:val="001D7B44"/>
    <w:rsid w:val="001F4D19"/>
    <w:rsid w:val="002023AE"/>
    <w:rsid w:val="00212D87"/>
    <w:rsid w:val="00214ECD"/>
    <w:rsid w:val="002203EF"/>
    <w:rsid w:val="00226ECC"/>
    <w:rsid w:val="002333A2"/>
    <w:rsid w:val="00254AC4"/>
    <w:rsid w:val="002611E5"/>
    <w:rsid w:val="00272C2F"/>
    <w:rsid w:val="00273833"/>
    <w:rsid w:val="00284D23"/>
    <w:rsid w:val="00295DCC"/>
    <w:rsid w:val="002A1ABE"/>
    <w:rsid w:val="002A4C26"/>
    <w:rsid w:val="002C1504"/>
    <w:rsid w:val="002D1324"/>
    <w:rsid w:val="002D6AFD"/>
    <w:rsid w:val="002E632F"/>
    <w:rsid w:val="002F7269"/>
    <w:rsid w:val="003119B0"/>
    <w:rsid w:val="00322066"/>
    <w:rsid w:val="0032414C"/>
    <w:rsid w:val="00334798"/>
    <w:rsid w:val="00340C58"/>
    <w:rsid w:val="00341D59"/>
    <w:rsid w:val="003470CE"/>
    <w:rsid w:val="0035032B"/>
    <w:rsid w:val="00360A5E"/>
    <w:rsid w:val="00363B49"/>
    <w:rsid w:val="00383FFA"/>
    <w:rsid w:val="00384B68"/>
    <w:rsid w:val="003921CE"/>
    <w:rsid w:val="003A4654"/>
    <w:rsid w:val="003A71FA"/>
    <w:rsid w:val="003B2FC9"/>
    <w:rsid w:val="003B3363"/>
    <w:rsid w:val="003C280B"/>
    <w:rsid w:val="003C683E"/>
    <w:rsid w:val="003D5BE9"/>
    <w:rsid w:val="003F41CC"/>
    <w:rsid w:val="003F465F"/>
    <w:rsid w:val="003F64CE"/>
    <w:rsid w:val="003F6B0F"/>
    <w:rsid w:val="004021E5"/>
    <w:rsid w:val="00416603"/>
    <w:rsid w:val="00422607"/>
    <w:rsid w:val="00452F85"/>
    <w:rsid w:val="00452FD2"/>
    <w:rsid w:val="00454342"/>
    <w:rsid w:val="0045699B"/>
    <w:rsid w:val="00480227"/>
    <w:rsid w:val="00480AFB"/>
    <w:rsid w:val="0048230A"/>
    <w:rsid w:val="00496C7C"/>
    <w:rsid w:val="004A1768"/>
    <w:rsid w:val="004C0CD9"/>
    <w:rsid w:val="004D41A1"/>
    <w:rsid w:val="004D556E"/>
    <w:rsid w:val="004E5848"/>
    <w:rsid w:val="004E74AB"/>
    <w:rsid w:val="004F7EB3"/>
    <w:rsid w:val="005274C6"/>
    <w:rsid w:val="00552C71"/>
    <w:rsid w:val="005561C7"/>
    <w:rsid w:val="00557951"/>
    <w:rsid w:val="005657A7"/>
    <w:rsid w:val="0056621F"/>
    <w:rsid w:val="00577D7D"/>
    <w:rsid w:val="00582161"/>
    <w:rsid w:val="00584046"/>
    <w:rsid w:val="0058745F"/>
    <w:rsid w:val="00587C7B"/>
    <w:rsid w:val="005B648C"/>
    <w:rsid w:val="005C2601"/>
    <w:rsid w:val="005C62CE"/>
    <w:rsid w:val="005C6A71"/>
    <w:rsid w:val="005D2EB0"/>
    <w:rsid w:val="005D6DAC"/>
    <w:rsid w:val="005D7271"/>
    <w:rsid w:val="006136CD"/>
    <w:rsid w:val="0061455D"/>
    <w:rsid w:val="00623A0F"/>
    <w:rsid w:val="00626A94"/>
    <w:rsid w:val="006426DA"/>
    <w:rsid w:val="00644EE0"/>
    <w:rsid w:val="00645AC2"/>
    <w:rsid w:val="00645EE1"/>
    <w:rsid w:val="00697DDF"/>
    <w:rsid w:val="006C26F7"/>
    <w:rsid w:val="006C273E"/>
    <w:rsid w:val="006C4AEA"/>
    <w:rsid w:val="006C4B95"/>
    <w:rsid w:val="006E2B2D"/>
    <w:rsid w:val="006E30A5"/>
    <w:rsid w:val="006E4E94"/>
    <w:rsid w:val="006E64EC"/>
    <w:rsid w:val="007012EE"/>
    <w:rsid w:val="00706C7A"/>
    <w:rsid w:val="007237D5"/>
    <w:rsid w:val="00736331"/>
    <w:rsid w:val="00737FE9"/>
    <w:rsid w:val="007420C5"/>
    <w:rsid w:val="00753B63"/>
    <w:rsid w:val="00763CF5"/>
    <w:rsid w:val="0079498A"/>
    <w:rsid w:val="007C5A87"/>
    <w:rsid w:val="007E31B0"/>
    <w:rsid w:val="007F1F8B"/>
    <w:rsid w:val="007F2837"/>
    <w:rsid w:val="0080575E"/>
    <w:rsid w:val="00825F37"/>
    <w:rsid w:val="008333F9"/>
    <w:rsid w:val="00835B0D"/>
    <w:rsid w:val="008444A2"/>
    <w:rsid w:val="00846059"/>
    <w:rsid w:val="00846A88"/>
    <w:rsid w:val="0086325A"/>
    <w:rsid w:val="0086777C"/>
    <w:rsid w:val="00870F67"/>
    <w:rsid w:val="0088279F"/>
    <w:rsid w:val="008A7B39"/>
    <w:rsid w:val="008C1946"/>
    <w:rsid w:val="008D167B"/>
    <w:rsid w:val="008E033E"/>
    <w:rsid w:val="008E68EB"/>
    <w:rsid w:val="008F1828"/>
    <w:rsid w:val="0090419B"/>
    <w:rsid w:val="00914EA6"/>
    <w:rsid w:val="00921FAE"/>
    <w:rsid w:val="009517EF"/>
    <w:rsid w:val="00975D69"/>
    <w:rsid w:val="00987048"/>
    <w:rsid w:val="00997CF8"/>
    <w:rsid w:val="009A1AB9"/>
    <w:rsid w:val="009D2D6F"/>
    <w:rsid w:val="00A3259F"/>
    <w:rsid w:val="00A42434"/>
    <w:rsid w:val="00A6060F"/>
    <w:rsid w:val="00A63CC7"/>
    <w:rsid w:val="00A66719"/>
    <w:rsid w:val="00A75F49"/>
    <w:rsid w:val="00A763E0"/>
    <w:rsid w:val="00A768F8"/>
    <w:rsid w:val="00A96886"/>
    <w:rsid w:val="00AA66BF"/>
    <w:rsid w:val="00AB2C35"/>
    <w:rsid w:val="00AB6CC7"/>
    <w:rsid w:val="00AC5A3F"/>
    <w:rsid w:val="00AE28B6"/>
    <w:rsid w:val="00AE6C72"/>
    <w:rsid w:val="00AF2547"/>
    <w:rsid w:val="00B156E7"/>
    <w:rsid w:val="00B272BF"/>
    <w:rsid w:val="00B27AC6"/>
    <w:rsid w:val="00B3009C"/>
    <w:rsid w:val="00B34E05"/>
    <w:rsid w:val="00B74DEC"/>
    <w:rsid w:val="00B84EE8"/>
    <w:rsid w:val="00B94AE8"/>
    <w:rsid w:val="00BE5C76"/>
    <w:rsid w:val="00C06709"/>
    <w:rsid w:val="00C62109"/>
    <w:rsid w:val="00C73130"/>
    <w:rsid w:val="00C77060"/>
    <w:rsid w:val="00C96F80"/>
    <w:rsid w:val="00CA6AB1"/>
    <w:rsid w:val="00CC5B87"/>
    <w:rsid w:val="00CD392F"/>
    <w:rsid w:val="00CF687F"/>
    <w:rsid w:val="00D220A6"/>
    <w:rsid w:val="00D45ED8"/>
    <w:rsid w:val="00D50DD6"/>
    <w:rsid w:val="00D61CF9"/>
    <w:rsid w:val="00D6470B"/>
    <w:rsid w:val="00D75AB6"/>
    <w:rsid w:val="00D81576"/>
    <w:rsid w:val="00D90853"/>
    <w:rsid w:val="00D90F3A"/>
    <w:rsid w:val="00D95DCE"/>
    <w:rsid w:val="00DB1FA6"/>
    <w:rsid w:val="00DB7BF5"/>
    <w:rsid w:val="00DD41A2"/>
    <w:rsid w:val="00DE0746"/>
    <w:rsid w:val="00DE67FD"/>
    <w:rsid w:val="00E00717"/>
    <w:rsid w:val="00E12D16"/>
    <w:rsid w:val="00E40686"/>
    <w:rsid w:val="00E467D9"/>
    <w:rsid w:val="00E62B4D"/>
    <w:rsid w:val="00E77AE3"/>
    <w:rsid w:val="00E90A08"/>
    <w:rsid w:val="00E95EC9"/>
    <w:rsid w:val="00EA3668"/>
    <w:rsid w:val="00EE7239"/>
    <w:rsid w:val="00F15FEF"/>
    <w:rsid w:val="00F47EB0"/>
    <w:rsid w:val="00F51A3D"/>
    <w:rsid w:val="00F52B00"/>
    <w:rsid w:val="00F54D2D"/>
    <w:rsid w:val="00F55B08"/>
    <w:rsid w:val="00F6058A"/>
    <w:rsid w:val="00F63F5E"/>
    <w:rsid w:val="00F81D89"/>
    <w:rsid w:val="00F8321A"/>
    <w:rsid w:val="00F85035"/>
    <w:rsid w:val="00F85562"/>
    <w:rsid w:val="00FC029D"/>
    <w:rsid w:val="00FC50AE"/>
    <w:rsid w:val="00FE0061"/>
    <w:rsid w:val="00FE238A"/>
    <w:rsid w:val="11152A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99"/>
    <w:pPr>
      <w:ind w:firstLine="420"/>
    </w:pPr>
    <w:rPr>
      <w:szCs w:val="24"/>
    </w:rPr>
  </w:style>
  <w:style w:type="paragraph" w:styleId="3">
    <w:name w:val="Body Text Indent"/>
    <w:basedOn w:val="1"/>
    <w:link w:val="13"/>
    <w:uiPriority w:val="99"/>
    <w:pPr>
      <w:tabs>
        <w:tab w:val="left" w:pos="1200"/>
      </w:tabs>
      <w:adjustRightInd w:val="0"/>
      <w:snapToGrid w:val="0"/>
      <w:spacing w:line="400" w:lineRule="exact"/>
      <w:ind w:right="32" w:firstLine="480" w:firstLineChars="200"/>
    </w:pPr>
    <w:rPr>
      <w:rFonts w:ascii="宋体" w:hAnsi="宋体"/>
      <w:color w:val="000000"/>
      <w:sz w:val="24"/>
      <w:szCs w:val="20"/>
    </w:rPr>
  </w:style>
  <w:style w:type="paragraph" w:styleId="4">
    <w:name w:val="Date"/>
    <w:basedOn w:val="1"/>
    <w:next w:val="1"/>
    <w:link w:val="18"/>
    <w:uiPriority w:val="99"/>
    <w:pPr>
      <w:ind w:left="100" w:leftChars="25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customStyle="1" w:styleId="10">
    <w:name w:val="Header Char"/>
    <w:basedOn w:val="7"/>
    <w:link w:val="6"/>
    <w:semiHidden/>
    <w:locked/>
    <w:uiPriority w:val="99"/>
    <w:rPr>
      <w:rFonts w:cs="Times New Roman"/>
      <w:sz w:val="18"/>
      <w:szCs w:val="18"/>
    </w:rPr>
  </w:style>
  <w:style w:type="character" w:customStyle="1" w:styleId="11">
    <w:name w:val="Footer Char"/>
    <w:basedOn w:val="7"/>
    <w:link w:val="5"/>
    <w:locked/>
    <w:uiPriority w:val="99"/>
    <w:rPr>
      <w:rFonts w:cs="Times New Roman"/>
      <w:sz w:val="18"/>
      <w:szCs w:val="18"/>
    </w:rPr>
  </w:style>
  <w:style w:type="paragraph" w:customStyle="1" w:styleId="12">
    <w:name w:val="默认段落字体 Para Char Char Char Char Char Char Char Char Char Char"/>
    <w:basedOn w:val="1"/>
    <w:uiPriority w:val="99"/>
    <w:rPr>
      <w:rFonts w:ascii="Tahoma" w:hAnsi="Tahoma"/>
      <w:sz w:val="24"/>
      <w:szCs w:val="20"/>
    </w:rPr>
  </w:style>
  <w:style w:type="character" w:customStyle="1" w:styleId="13">
    <w:name w:val="Body Text Indent Char"/>
    <w:basedOn w:val="7"/>
    <w:link w:val="3"/>
    <w:locked/>
    <w:uiPriority w:val="99"/>
    <w:rPr>
      <w:rFonts w:ascii="宋体" w:hAnsi="宋体" w:eastAsia="宋体" w:cs="Times New Roman"/>
      <w:color w:val="000000"/>
      <w:sz w:val="20"/>
      <w:szCs w:val="20"/>
    </w:rPr>
  </w:style>
  <w:style w:type="paragraph" w:customStyle="1" w:styleId="14">
    <w:name w:val="表格文字"/>
    <w:basedOn w:val="1"/>
    <w:link w:val="15"/>
    <w:uiPriority w:val="99"/>
    <w:pPr>
      <w:spacing w:line="400" w:lineRule="exact"/>
      <w:jc w:val="center"/>
    </w:pPr>
    <w:rPr>
      <w:rFonts w:ascii="宋体" w:hAnsi="宋体"/>
      <w:sz w:val="24"/>
      <w:szCs w:val="20"/>
    </w:rPr>
  </w:style>
  <w:style w:type="character" w:customStyle="1" w:styleId="15">
    <w:name w:val="表格文字 Char"/>
    <w:basedOn w:val="7"/>
    <w:link w:val="14"/>
    <w:qFormat/>
    <w:locked/>
    <w:uiPriority w:val="99"/>
    <w:rPr>
      <w:rFonts w:ascii="宋体" w:hAnsi="宋体" w:eastAsia="宋体" w:cs="Times New Roman"/>
      <w:sz w:val="20"/>
      <w:szCs w:val="20"/>
    </w:rPr>
  </w:style>
  <w:style w:type="paragraph" w:customStyle="1" w:styleId="16">
    <w:name w:val="Default"/>
    <w:qFormat/>
    <w:uiPriority w:val="99"/>
    <w:pPr>
      <w:widowControl w:val="0"/>
      <w:autoSpaceDE w:val="0"/>
      <w:autoSpaceDN w:val="0"/>
      <w:adjustRightInd w:val="0"/>
    </w:pPr>
    <w:rPr>
      <w:rFonts w:ascii="FZXiaoBiaoSong-B05" w:hAnsi="Calibri" w:eastAsia="FZXiaoBiaoSong-B05" w:cs="FZXiaoBiaoSong-B05"/>
      <w:color w:val="000000"/>
      <w:kern w:val="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Date Char"/>
    <w:basedOn w:val="7"/>
    <w:link w:val="4"/>
    <w:semiHidden/>
    <w:locked/>
    <w:uiPriority w:val="99"/>
    <w:rPr>
      <w:rFonts w:cs="Times New Roman"/>
    </w:rPr>
  </w:style>
  <w:style w:type="character" w:customStyle="1" w:styleId="19">
    <w:name w:val="fontstyle01"/>
    <w:basedOn w:val="7"/>
    <w:qFormat/>
    <w:uiPriority w:val="99"/>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364</Words>
  <Characters>2080</Characters>
  <Lines>0</Lines>
  <Paragraphs>0</Paragraphs>
  <TotalTime>51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2018-10-20T13:19:00Z</dcterms:created>
  <dc:creator>ThinkPad</dc:creator>
  <cp:lastModifiedBy>Administrator</cp:lastModifiedBy>
  <dcterms:modified xsi:type="dcterms:W3CDTF">2018-11-27T09:07:18Z</dcterms:modified>
  <dc:title>戴铂新材料(张家港)有限公司年产3800吨复合芯材、4800吨轻木轮廓板项目(第二阶段) 竣工环境保护验收意见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